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6" w:rsidRDefault="00843820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109980" cy="1200150"/>
            <wp:effectExtent l="0" t="0" r="0" b="0"/>
            <wp:wrapNone/>
            <wp:docPr id="15" name="Picture 15" descr="http://healthnet/dphinfo/health_communication/logo/dph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ealthnet/dphinfo/health_communication/logo/dph_logo_blu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843820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-3175</wp:posOffset>
            </wp:positionV>
            <wp:extent cx="2241550" cy="14922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Comic Sans MS" w:hAnsi="Comic Sans MS"/>
          <w:sz w:val="28"/>
          <w:szCs w:val="28"/>
        </w:rPr>
      </w:pPr>
    </w:p>
    <w:p w:rsidR="00F96E92" w:rsidRDefault="00F96E92" w:rsidP="00F96E92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</w:t>
      </w:r>
      <w:r w:rsidR="000743A6" w:rsidRPr="000743A6">
        <w:rPr>
          <w:rFonts w:ascii="Comic Sans MS" w:hAnsi="Comic Sans MS"/>
          <w:b/>
          <w:sz w:val="28"/>
          <w:szCs w:val="28"/>
        </w:rPr>
        <w:t>How Are We Doing?</w:t>
      </w:r>
    </w:p>
    <w:p w:rsidR="000743A6" w:rsidRPr="000743A6" w:rsidRDefault="00F96E92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0743A6" w:rsidRPr="000743A6">
        <w:rPr>
          <w:rFonts w:ascii="Comic Sans MS" w:hAnsi="Comic Sans MS"/>
          <w:b/>
          <w:sz w:val="28"/>
          <w:szCs w:val="28"/>
        </w:rPr>
        <w:t xml:space="preserve"> Looking at Child &amp; Family Outcomes</w:t>
      </w: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Pr="001C2F81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b/>
        </w:rPr>
      </w:pPr>
    </w:p>
    <w:p w:rsidR="000743A6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jc w:val="center"/>
        <w:rPr>
          <w:rFonts w:ascii="Comic Sans MS" w:hAnsi="Comic Sans MS"/>
          <w:b/>
          <w:sz w:val="28"/>
          <w:szCs w:val="28"/>
        </w:rPr>
      </w:pPr>
      <w:r w:rsidRPr="001C2F81">
        <w:rPr>
          <w:rFonts w:ascii="Comic Sans MS" w:hAnsi="Comic Sans MS"/>
          <w:b/>
          <w:sz w:val="28"/>
          <w:szCs w:val="28"/>
        </w:rPr>
        <w:t>What are Outcomes?</w:t>
      </w: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jc w:val="center"/>
        <w:rPr>
          <w:rFonts w:ascii="Comic Sans MS" w:hAnsi="Comic Sans MS"/>
          <w:b/>
          <w:sz w:val="28"/>
          <w:szCs w:val="28"/>
        </w:rPr>
      </w:pP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>Outcomes are the results children and families experience from participation in Early Intervention</w:t>
      </w:r>
      <w:r w:rsidR="007523E5">
        <w:rPr>
          <w:sz w:val="24"/>
          <w:szCs w:val="24"/>
        </w:rPr>
        <w:t xml:space="preserve"> (EI)</w:t>
      </w:r>
      <w:r>
        <w:rPr>
          <w:sz w:val="24"/>
          <w:szCs w:val="24"/>
        </w:rPr>
        <w:t xml:space="preserve">.  </w:t>
      </w:r>
      <w:r w:rsidR="007523E5">
        <w:rPr>
          <w:sz w:val="24"/>
          <w:szCs w:val="24"/>
        </w:rPr>
        <w:t xml:space="preserve">In addition to individual IFSP outcomes, </w:t>
      </w:r>
      <w:smartTag w:uri="urn:schemas-microsoft-com:office:smarttags" w:element="State">
        <w:smartTag w:uri="urn:schemas-microsoft-com:office:smarttags" w:element="place">
          <w:r w:rsidR="007523E5">
            <w:rPr>
              <w:sz w:val="24"/>
              <w:szCs w:val="24"/>
            </w:rPr>
            <w:t>Massachusetts</w:t>
          </w:r>
        </w:smartTag>
      </w:smartTag>
      <w:r w:rsidR="007523E5">
        <w:rPr>
          <w:sz w:val="24"/>
          <w:szCs w:val="24"/>
        </w:rPr>
        <w:t xml:space="preserve"> looks at some broader Outcomes for all children.</w:t>
      </w:r>
      <w:r w:rsidR="005A5FBC">
        <w:rPr>
          <w:sz w:val="24"/>
          <w:szCs w:val="24"/>
        </w:rPr>
        <w:t xml:space="preserve"> </w:t>
      </w:r>
      <w:r w:rsidR="008B4E91">
        <w:rPr>
          <w:sz w:val="24"/>
          <w:szCs w:val="24"/>
        </w:rPr>
        <w:t>Just as they do for IFSP outcomes, f</w:t>
      </w:r>
      <w:r>
        <w:rPr>
          <w:sz w:val="24"/>
          <w:szCs w:val="24"/>
        </w:rPr>
        <w:t>amilies and providers wor</w:t>
      </w:r>
      <w:r w:rsidR="005A5FBC">
        <w:rPr>
          <w:sz w:val="24"/>
          <w:szCs w:val="24"/>
        </w:rPr>
        <w:t xml:space="preserve">k together to identify desired </w:t>
      </w:r>
      <w:r w:rsidR="008B4E91">
        <w:rPr>
          <w:sz w:val="24"/>
          <w:szCs w:val="24"/>
        </w:rPr>
        <w:t xml:space="preserve">Outcomes </w:t>
      </w:r>
      <w:r>
        <w:rPr>
          <w:sz w:val="24"/>
          <w:szCs w:val="24"/>
        </w:rPr>
        <w:t>and the services and strategies that will</w:t>
      </w:r>
      <w:r w:rsidR="008B4E91">
        <w:rPr>
          <w:sz w:val="24"/>
          <w:szCs w:val="24"/>
        </w:rPr>
        <w:t xml:space="preserve"> help to achieve these Outcomes</w:t>
      </w:r>
    </w:p>
    <w:p w:rsidR="001C2F81" w:rsidRP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8"/>
          <w:szCs w:val="28"/>
        </w:rPr>
      </w:pPr>
    </w:p>
    <w:p w:rsidR="001C2F81" w:rsidRP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jc w:val="center"/>
        <w:rPr>
          <w:rFonts w:ascii="Comic Sans MS" w:hAnsi="Comic Sans MS"/>
          <w:b/>
          <w:sz w:val="28"/>
          <w:szCs w:val="28"/>
        </w:rPr>
      </w:pPr>
      <w:r w:rsidRPr="001C2F81">
        <w:rPr>
          <w:rFonts w:ascii="Comic Sans MS" w:hAnsi="Comic Sans MS"/>
          <w:b/>
          <w:sz w:val="28"/>
          <w:szCs w:val="28"/>
        </w:rPr>
        <w:t>Why Measure Outcomes?</w:t>
      </w:r>
    </w:p>
    <w:p w:rsidR="000743A6" w:rsidRDefault="000743A6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</w:pPr>
    </w:p>
    <w:p w:rsidR="000743A6" w:rsidRDefault="001C2F81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C2F81">
        <w:rPr>
          <w:sz w:val="24"/>
          <w:szCs w:val="24"/>
        </w:rPr>
        <w:t>Department of Public Health</w:t>
      </w:r>
      <w:r>
        <w:rPr>
          <w:sz w:val="24"/>
          <w:szCs w:val="24"/>
        </w:rPr>
        <w:t xml:space="preserve"> which oversees and regulates Early Intervention services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Massachusetts</w:t>
          </w:r>
        </w:smartTag>
      </w:smartTag>
      <w:r>
        <w:rPr>
          <w:sz w:val="24"/>
          <w:szCs w:val="24"/>
        </w:rPr>
        <w:t xml:space="preserve"> is required to measure and report on a set of Outcomes identified by the Individuals with Disabilities Education Act (IDEA).  These Outcomes are designed to measure how well Early Intervention services work for children and families. 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Massachusetts</w:t>
          </w:r>
        </w:smartTag>
      </w:smartTag>
      <w:r>
        <w:rPr>
          <w:sz w:val="24"/>
          <w:szCs w:val="24"/>
        </w:rPr>
        <w:t xml:space="preserve"> </w:t>
      </w:r>
      <w:r w:rsidR="00444720">
        <w:rPr>
          <w:sz w:val="24"/>
          <w:szCs w:val="24"/>
        </w:rPr>
        <w:t>reports</w:t>
      </w:r>
      <w:r>
        <w:rPr>
          <w:sz w:val="24"/>
          <w:szCs w:val="24"/>
        </w:rPr>
        <w:t xml:space="preserve"> this information in </w:t>
      </w:r>
      <w:r w:rsidR="00CF1B9C">
        <w:rPr>
          <w:sz w:val="24"/>
          <w:szCs w:val="24"/>
        </w:rPr>
        <w:t xml:space="preserve">the </w:t>
      </w:r>
      <w:r>
        <w:rPr>
          <w:sz w:val="24"/>
          <w:szCs w:val="24"/>
        </w:rPr>
        <w:t>Annual Performance Report to the federal Department of Education, Office of Special Education Programs.</w:t>
      </w:r>
    </w:p>
    <w:p w:rsidR="001C2F81" w:rsidRDefault="001C2F81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</w:p>
    <w:p w:rsidR="001C2F81" w:rsidRP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jc w:val="center"/>
        <w:rPr>
          <w:rFonts w:ascii="Comic Sans MS" w:hAnsi="Comic Sans MS"/>
          <w:b/>
          <w:sz w:val="28"/>
          <w:szCs w:val="28"/>
        </w:rPr>
      </w:pPr>
      <w:r w:rsidRPr="001C2F81">
        <w:rPr>
          <w:rFonts w:ascii="Comic Sans MS" w:hAnsi="Comic Sans MS"/>
          <w:b/>
          <w:sz w:val="28"/>
          <w:szCs w:val="28"/>
        </w:rPr>
        <w:t>What's Being Measured?</w:t>
      </w:r>
    </w:p>
    <w:p w:rsidR="000743A6" w:rsidRDefault="001C2F81" w:rsidP="000743A6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 Children</w:t>
      </w:r>
    </w:p>
    <w:p w:rsidR="001C2F81" w:rsidRPr="001C2F81" w:rsidRDefault="001C2F81" w:rsidP="001C2F81">
      <w:pPr>
        <w:numPr>
          <w:ilvl w:val="0"/>
          <w:numId w:val="5"/>
        </w:num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b/>
          <w:sz w:val="24"/>
          <w:szCs w:val="24"/>
        </w:rPr>
      </w:pPr>
      <w:r>
        <w:rPr>
          <w:sz w:val="24"/>
          <w:szCs w:val="24"/>
        </w:rPr>
        <w:t>Children have positive social relationships</w:t>
      </w:r>
    </w:p>
    <w:p w:rsidR="001C2F81" w:rsidRPr="001C2F81" w:rsidRDefault="001C2F81" w:rsidP="001C2F81">
      <w:pPr>
        <w:numPr>
          <w:ilvl w:val="0"/>
          <w:numId w:val="5"/>
        </w:num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b/>
          <w:sz w:val="24"/>
          <w:szCs w:val="24"/>
        </w:rPr>
      </w:pPr>
      <w:r>
        <w:rPr>
          <w:sz w:val="24"/>
          <w:szCs w:val="24"/>
        </w:rPr>
        <w:t>Children acquire and use knowledge and skills</w:t>
      </w:r>
    </w:p>
    <w:p w:rsidR="001C2F81" w:rsidRPr="001C2F81" w:rsidRDefault="001C2F81" w:rsidP="001C2F81">
      <w:pPr>
        <w:numPr>
          <w:ilvl w:val="0"/>
          <w:numId w:val="5"/>
        </w:num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b/>
          <w:sz w:val="24"/>
          <w:szCs w:val="24"/>
        </w:rPr>
      </w:pPr>
      <w:r>
        <w:rPr>
          <w:sz w:val="24"/>
          <w:szCs w:val="24"/>
        </w:rPr>
        <w:t>Children take appropriate actions to meet their needs</w:t>
      </w: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 Families</w:t>
      </w:r>
    </w:p>
    <w:p w:rsidR="001C2F81" w:rsidRDefault="001C2F81" w:rsidP="001C2F81">
      <w:pPr>
        <w:numPr>
          <w:ilvl w:val="0"/>
          <w:numId w:val="6"/>
        </w:num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 w:rsidRPr="001C2F81">
        <w:rPr>
          <w:sz w:val="24"/>
          <w:szCs w:val="24"/>
        </w:rPr>
        <w:t>Effectively</w:t>
      </w:r>
      <w:r>
        <w:rPr>
          <w:sz w:val="24"/>
          <w:szCs w:val="24"/>
        </w:rPr>
        <w:t xml:space="preserve"> communicate their children's needs</w:t>
      </w:r>
    </w:p>
    <w:p w:rsidR="001C2F81" w:rsidRDefault="001C2F81" w:rsidP="001C2F81">
      <w:pPr>
        <w:numPr>
          <w:ilvl w:val="0"/>
          <w:numId w:val="6"/>
        </w:num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>Help their children learn and develop</w:t>
      </w:r>
    </w:p>
    <w:p w:rsidR="001C2F81" w:rsidRDefault="001C2F81" w:rsidP="001C2F81">
      <w:pPr>
        <w:numPr>
          <w:ilvl w:val="0"/>
          <w:numId w:val="6"/>
        </w:num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>Know their rights</w:t>
      </w: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How is this Information Gathered and </w:t>
      </w:r>
      <w:r w:rsidR="00444720">
        <w:rPr>
          <w:rFonts w:ascii="Comic Sans MS" w:hAnsi="Comic Sans MS"/>
          <w:b/>
          <w:sz w:val="28"/>
          <w:szCs w:val="28"/>
        </w:rPr>
        <w:t>Used?</w:t>
      </w: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Comic Sans MS" w:hAnsi="Comic Sans MS"/>
          <w:sz w:val="24"/>
          <w:szCs w:val="24"/>
        </w:rPr>
      </w:pPr>
    </w:p>
    <w:p w:rsidR="001C2F81" w:rsidRDefault="001C2F81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>Information about child Outcomes comes from formal assessments, observations of children busy</w:t>
      </w:r>
      <w:r w:rsidR="00B36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with everyday activities and from talking to you and other caregivers and professionals involved with your child and family.</w:t>
      </w:r>
      <w:r w:rsidR="00444720">
        <w:rPr>
          <w:sz w:val="24"/>
          <w:szCs w:val="24"/>
        </w:rPr>
        <w:t xml:space="preserve">  Family Outcomes come from the NCSEAM </w:t>
      </w:r>
      <w:r w:rsidR="007523E5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PlaceName">
          <w:r w:rsidR="007523E5">
            <w:rPr>
              <w:sz w:val="24"/>
              <w:szCs w:val="24"/>
            </w:rPr>
            <w:t>National</w:t>
          </w:r>
        </w:smartTag>
        <w:r w:rsidR="007523E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7523E5">
            <w:rPr>
              <w:sz w:val="24"/>
              <w:szCs w:val="24"/>
            </w:rPr>
            <w:t>Center</w:t>
          </w:r>
        </w:smartTag>
      </w:smartTag>
      <w:r w:rsidR="007523E5">
        <w:rPr>
          <w:sz w:val="24"/>
          <w:szCs w:val="24"/>
        </w:rPr>
        <w:t xml:space="preserve"> for Special Education Accountability Monitoring) </w:t>
      </w:r>
      <w:r w:rsidR="00444720">
        <w:rPr>
          <w:sz w:val="24"/>
          <w:szCs w:val="24"/>
        </w:rPr>
        <w:t>Family Survey completed by families once a year.  This information helps the EI system know if we are making a positive difference for children and families and how we can improve services.</w:t>
      </w:r>
    </w:p>
    <w:p w:rsidR="00444720" w:rsidRDefault="00444720" w:rsidP="001C2F81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</w:p>
    <w:p w:rsidR="00454657" w:rsidRDefault="00444720" w:rsidP="00521B74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 xml:space="preserve">For more information about efforts to measure Outcomes, contact the Part C Early Intervention Program at the Massachusetts </w:t>
      </w:r>
      <w:r w:rsidRPr="00444720">
        <w:rPr>
          <w:sz w:val="24"/>
          <w:szCs w:val="24"/>
        </w:rPr>
        <w:t>Department of Public Health</w:t>
      </w:r>
      <w:r>
        <w:rPr>
          <w:sz w:val="24"/>
          <w:szCs w:val="24"/>
        </w:rPr>
        <w:t xml:space="preserve">, 617-624-6060 or at </w:t>
      </w:r>
      <w:hyperlink r:id="rId9" w:history="1">
        <w:r w:rsidRPr="00B56EA3">
          <w:rPr>
            <w:rStyle w:val="Hyperlink"/>
            <w:sz w:val="24"/>
            <w:szCs w:val="24"/>
          </w:rPr>
          <w:t>www.mass.gov/dph/earlyintervention</w:t>
        </w:r>
      </w:hyperlink>
      <w:r>
        <w:rPr>
          <w:sz w:val="24"/>
          <w:szCs w:val="24"/>
        </w:rPr>
        <w:t xml:space="preserve">   </w:t>
      </w:r>
    </w:p>
    <w:p w:rsidR="003F2A51" w:rsidRPr="00454657" w:rsidRDefault="00454657" w:rsidP="00454657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46E28">
        <w:rPr>
          <w:sz w:val="18"/>
          <w:szCs w:val="18"/>
        </w:rPr>
        <w:t>10</w:t>
      </w:r>
      <w:r>
        <w:rPr>
          <w:sz w:val="18"/>
          <w:szCs w:val="18"/>
        </w:rPr>
        <w:t>/2010</w:t>
      </w:r>
      <w:r w:rsidR="0044472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</w:t>
      </w:r>
    </w:p>
    <w:sectPr w:rsidR="003F2A51" w:rsidRPr="00454657" w:rsidSect="007523E5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323"/>
    <w:multiLevelType w:val="hybridMultilevel"/>
    <w:tmpl w:val="D37E2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12BDD"/>
    <w:multiLevelType w:val="hybridMultilevel"/>
    <w:tmpl w:val="F8B26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5A7D1A"/>
    <w:multiLevelType w:val="hybridMultilevel"/>
    <w:tmpl w:val="71EE243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4351E9F"/>
    <w:multiLevelType w:val="hybridMultilevel"/>
    <w:tmpl w:val="CB04F2E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1C73273"/>
    <w:multiLevelType w:val="hybridMultilevel"/>
    <w:tmpl w:val="33B614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BD4404F"/>
    <w:multiLevelType w:val="hybridMultilevel"/>
    <w:tmpl w:val="BFACA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C4"/>
    <w:rsid w:val="00042AC7"/>
    <w:rsid w:val="000743A6"/>
    <w:rsid w:val="001C2F81"/>
    <w:rsid w:val="003F2A51"/>
    <w:rsid w:val="00444720"/>
    <w:rsid w:val="00454657"/>
    <w:rsid w:val="0047559F"/>
    <w:rsid w:val="00521B74"/>
    <w:rsid w:val="0053200E"/>
    <w:rsid w:val="005A5FBC"/>
    <w:rsid w:val="00746E28"/>
    <w:rsid w:val="007523E5"/>
    <w:rsid w:val="007A56F4"/>
    <w:rsid w:val="007C3726"/>
    <w:rsid w:val="007F7563"/>
    <w:rsid w:val="008354C4"/>
    <w:rsid w:val="00843820"/>
    <w:rsid w:val="008B4E91"/>
    <w:rsid w:val="00B36FC5"/>
    <w:rsid w:val="00BD6A05"/>
    <w:rsid w:val="00CF1B9C"/>
    <w:rsid w:val="00D44614"/>
    <w:rsid w:val="00DE128B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C4"/>
    <w:rPr>
      <w:rFonts w:ascii="Garamond" w:hAnsi="Garamond"/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2">
    <w:name w:val="msoorganizationname2"/>
    <w:rsid w:val="00DE128B"/>
    <w:pPr>
      <w:jc w:val="center"/>
    </w:pPr>
    <w:rPr>
      <w:rFonts w:ascii="Gill Sans MT" w:hAnsi="Gill Sans MT"/>
      <w:b/>
      <w:bCs/>
      <w:color w:val="000000"/>
      <w:kern w:val="28"/>
    </w:rPr>
  </w:style>
  <w:style w:type="character" w:styleId="Hyperlink">
    <w:name w:val="Hyperlink"/>
    <w:rsid w:val="007A5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C4"/>
    <w:rPr>
      <w:rFonts w:ascii="Garamond" w:hAnsi="Garamond"/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2">
    <w:name w:val="msoorganizationname2"/>
    <w:rsid w:val="00DE128B"/>
    <w:pPr>
      <w:jc w:val="center"/>
    </w:pPr>
    <w:rPr>
      <w:rFonts w:ascii="Gill Sans MT" w:hAnsi="Gill Sans MT"/>
      <w:b/>
      <w:bCs/>
      <w:color w:val="000000"/>
      <w:kern w:val="28"/>
    </w:rPr>
  </w:style>
  <w:style w:type="character" w:styleId="Hyperlink">
    <w:name w:val="Hyperlink"/>
    <w:rsid w:val="007A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healthnet/dphinfo/health_communication/logo/dph_logo_blu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dph/earlyinter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2348</CharactersWithSpaces>
  <SharedDoc>false</SharedDoc>
  <HLinks>
    <vt:vector size="12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http://www.mass.gov/dph/earlyintervention</vt:lpwstr>
      </vt:variant>
      <vt:variant>
        <vt:lpwstr/>
      </vt:variant>
      <vt:variant>
        <vt:i4>262181</vt:i4>
      </vt:variant>
      <vt:variant>
        <vt:i4>-1</vt:i4>
      </vt:variant>
      <vt:variant>
        <vt:i4>1039</vt:i4>
      </vt:variant>
      <vt:variant>
        <vt:i4>1</vt:i4>
      </vt:variant>
      <vt:variant>
        <vt:lpwstr>http://healthnet/dphinfo/health_communication/logo/dph_logo_blue.jpg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SGottlieb</dc:creator>
  <cp:lastModifiedBy> </cp:lastModifiedBy>
  <cp:revision>2</cp:revision>
  <cp:lastPrinted>2010-07-13T13:28:00Z</cp:lastPrinted>
  <dcterms:created xsi:type="dcterms:W3CDTF">2015-09-15T19:58:00Z</dcterms:created>
  <dcterms:modified xsi:type="dcterms:W3CDTF">2015-09-15T19:58:00Z</dcterms:modified>
</cp:coreProperties>
</file>